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both"/>
        <w:rPr>
          <w:rFonts w:hint="eastAsia" w:ascii="仿宋_GB2312" w:hAnsi="仿宋_GB2312" w:eastAsia="仿宋_GB2312" w:cs="仿宋_GB2312"/>
          <w:snapToGrid/>
          <w:spacing w:val="0"/>
          <w:kern w:val="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spacing w:val="0"/>
          <w:kern w:val="2"/>
          <w:sz w:val="30"/>
          <w:szCs w:val="30"/>
          <w:lang w:val="en-US" w:eastAsia="zh-CN"/>
        </w:rPr>
        <w:t>附件3</w:t>
      </w:r>
    </w:p>
    <w:p>
      <w:pPr>
        <w:pStyle w:val="2"/>
        <w:jc w:val="center"/>
        <w:rPr>
          <w:rFonts w:hint="eastAsia" w:ascii="仿宋_GB2312" w:hAnsi="仿宋_GB2312" w:eastAsia="仿宋_GB2312" w:cs="仿宋_GB2312"/>
          <w:snapToGrid/>
          <w:spacing w:val="0"/>
          <w:kern w:val="2"/>
          <w:sz w:val="30"/>
          <w:szCs w:val="30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支持银行业金融机构开展专利质押贷款奖补名单</w:t>
      </w:r>
    </w:p>
    <w:tbl>
      <w:tblPr>
        <w:tblStyle w:val="4"/>
        <w:tblW w:w="877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45"/>
        <w:gridCol w:w="3510"/>
        <w:gridCol w:w="1590"/>
        <w:gridCol w:w="30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8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银行业金融机构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奖补金额合计（万元）</w:t>
            </w:r>
          </w:p>
        </w:tc>
        <w:tc>
          <w:tcPr>
            <w:tcW w:w="3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排名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 w:hRule="atLeast"/>
        </w:trPr>
        <w:tc>
          <w:tcPr>
            <w:tcW w:w="6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兴业银行股份有限公司福州分行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3.5000 </w:t>
            </w:r>
          </w:p>
        </w:tc>
        <w:tc>
          <w:tcPr>
            <w:tcW w:w="30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除全省前10名以外，全市第一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</w:trPr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</w:trPr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6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厦门银行股份有限公司福州分行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0.5150 </w:t>
            </w:r>
          </w:p>
        </w:tc>
        <w:tc>
          <w:tcPr>
            <w:tcW w:w="30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除全省前10名以外，全市第二(并列）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</w:trPr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</w:trPr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5" w:hRule="atLeast"/>
        </w:trPr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6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交通银行股份有限公司福建省分行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30.0000 </w:t>
            </w:r>
          </w:p>
        </w:tc>
        <w:tc>
          <w:tcPr>
            <w:tcW w:w="30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除全省前10名以外，全市第二(并列）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福建海峡银行股份有限公司福州鼓楼支行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2.3075 </w:t>
            </w:r>
          </w:p>
        </w:tc>
        <w:tc>
          <w:tcPr>
            <w:tcW w:w="3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除全省前10名以外，全市第二(并列）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</w:trPr>
        <w:tc>
          <w:tcPr>
            <w:tcW w:w="41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36.3225 </w:t>
            </w:r>
          </w:p>
        </w:tc>
        <w:tc>
          <w:tcPr>
            <w:tcW w:w="3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pStyle w:val="2"/>
        <w:rPr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122009"/>
    <w:rsid w:val="1F122009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tLeast"/>
      <w:jc w:val="both"/>
    </w:pPr>
    <w:rPr>
      <w:rFonts w:ascii="仿宋_GB2312" w:hAnsi="仿宋_GB2312" w:eastAsia="仿宋_GB2312" w:cs="Times New Roman"/>
      <w:spacing w:val="0"/>
      <w:kern w:val="2"/>
      <w:sz w:val="32"/>
      <w:szCs w:val="22"/>
      <w:lang w:val="en-US" w:eastAsia="zh-CN"/>
    </w:rPr>
  </w:style>
  <w:style w:type="paragraph" w:styleId="2">
    <w:name w:val="heading 1"/>
    <w:basedOn w:val="1"/>
    <w:next w:val="1"/>
    <w:qFormat/>
    <w:uiPriority w:val="0"/>
    <w:pPr>
      <w:spacing w:before="103"/>
      <w:ind w:right="309"/>
      <w:jc w:val="center"/>
      <w:outlineLvl w:val="0"/>
    </w:pPr>
    <w:rPr>
      <w:rFonts w:ascii="方正小标宋简体" w:hAnsi="方正小标宋简体" w:eastAsia="方正小标宋简体" w:cs="方正小标宋简体"/>
      <w:sz w:val="48"/>
      <w:szCs w:val="48"/>
      <w:lang w:val="zh-CN" w:bidi="zh-CN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2023-10-16T08:51:00Z</dcterms:created>
  <dc:creator>林珊</dc:creator>
  <cp:lastModifiedBy>林珊</cp:lastModifiedBy>
  <dcterms:modified xsi:type="dcterms:W3CDTF">2023-10-16T08:55:44Z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